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518</w:t>
      </w:r>
    </w:p>
    <w:p>
      <w:r>
        <w:t>Bundesgericht (BGE), 1997-10-16, DE</w:t>
      </w:r>
    </w:p>
    <w:p>
      <w:r>
        <w:rPr>
          <w:b/>
        </w:rPr>
        <w:t xml:space="preserve">Quelle: </w:t>
      </w:r>
      <w:r>
        <w:t>https://mcp.opencaselaw.ch/entscheid/bge_125 II 518</w:t>
      </w:r>
    </w:p>
    <w:p>
      <w:r>
        <w:t>FR: ATF 125 II 518</w:t>
      </w:r>
    </w:p>
    <w:p>
      <w:r>
        <w:t>IT: DTF 125 II 518</w:t>
      </w:r>
    </w:p>
    <w:p>
      <w:pPr>
        <w:pStyle w:val="Heading2"/>
      </w:pPr>
      <w:r>
        <w:t>Regeste</w:t>
      </w:r>
    </w:p>
    <w:p>
      <w:r>
        <w:t>Regeste Art. 159 Abs. 1 und 2 OG. Anspruch der nicht anwaltlich vertretenen Partei auf eine Parteientschädigung. Die besonderen Voraussetzungen, unter denen der nicht anwaltlich vertretenen Partei nach Art. 159 Abs. 1 und 2 OG eine Parteientschädigung zusteht (BGE 110 V 72), müssen beim um sein Honorar streitenden amtlichen Verteidiger nicht erfüllt sein (E. 5b).</w:t>
      </w:r>
    </w:p>
    <w:p>
      <w:pPr>
        <w:pStyle w:val="Heading2"/>
      </w:pPr>
      <w:r>
        <w:t>Erwägungen</w:t>
      </w:r>
    </w:p>
    <w:p>
      <w:r>
        <w:rPr>
          <w:b/>
        </w:rPr>
        <w:t>E. 5</w:t>
      </w:r>
    </w:p>
    <w:p>
      <w:r>
        <w:t>b) Hingegen fragt es sich, ob dem teilweise obsiegenden Beschwerdeführer zu Lasten des Kantons Zürich nach Art. 159 Abs. 1 und 2 OG eine Parteientschädigung zuzusprechen ist, obwohl er in eigener Sache ohne Beizug eines Rechtsvertreters handelte. Einer nicht anwaltlich vertretenen Partei steht, unabhängig davon ob es sich um einen juristischen Laien oder einen Rechtsanwalt handelt, unter besonderen Voraussetzungen eine Parteientschädigung zu. Der Tarif über die Entschädigung an die Gegenpartei für das Verfahren vor Bundesgericht unterscheidet denn auch zwischen den Anwaltskosten (Art. 3) und der Parteientschädigung, die den Ersatz der Auslagen und eine angemessene Entschädigung für weitere Umtriebe der Partei selber vorsieht, «wo besondere Verhältnisse dies rechtfertigen» (Art. 2). Dies ist nach der Praxis des Bundesgerichts namentlich der Fall, wenn es sich um eine komplizierte Sache mit hohem Streitwert handelt und die Interessenwahrung einen hohen Arbeitsaufwand notwendig macht, der den Rahmen dessen überschreitet, was der Einzelne üblicher- und zumutbarerweise nebenbei BGE 125 II 518 S. 520 zur Besorgung der persönlichen Angelegenheiten auf sich zu nehmen hat ( BGE 110 V 72 E. 7, 132 E. 4d; BGE 113 Ib 353 E. 6b). Es rechtfertigt sich, dem amtlichen Verteidiger im Strafverfahren beim Obsiegen in einer staatsrechtlichen Beschwerde betreffend sein Honorar grundsätzlich eine Parteientschädigung zuzusprechen, ohne dass die Voraussetzungen der zitierten, auf die Vertretung eigener persönlicher Angelegenheit zugeschnittenen Rechtsprechung erfüllt sein müssen. Der um sein Honorar streitende amtliche Rechtsvertreter nimmt nicht bloss persönliche Interessen wahr, sondern vertritt seinen Anspruch auf eine in aller Regel minimale Entschädigung (vgl. dazu BGE 122 I 1 E. 3a) für die Erfüllung einer beruflichen Aufgabe, die er zudem im Rahmen eines öffentlich-rechtlichen Auftragsverhältnisses wahrnimmt. Dem Beschwerdeführer ist daher für diese Interessenwahrung im staatsrechtlichen Beschwerdeverfahren im Rahmen des erforderlichen Aufwandes und nach Massgabe seines Obsiegens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